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ALLEGATO D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LOnormal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</w:t>
      </w:r>
      <w:r>
        <w:rPr>
          <w:rFonts w:eastAsia="Times New Roman" w:cs="Times New Roman" w:ascii="Times New Roman" w:hAnsi="Times New Roman"/>
          <w:b/>
        </w:rPr>
        <w:t>“Trekking, alla scoperta delle bellezze naturali della provincia di Trapani"</w:t>
      </w:r>
    </w:p>
    <w:p>
      <w:pPr>
        <w:pStyle w:val="LOnormal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0"/>
        <w:gridCol w:w="4686"/>
        <w:gridCol w:w="1786"/>
        <w:gridCol w:w="1331"/>
        <w:gridCol w:w="1294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700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700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widowControl w:val="false"/>
              <w:ind w:left="720" w:right="269" w:hanging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720" w:right="269" w:hanging="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  </w:t>
            </w:r>
            <w:r>
              <w:rPr>
                <w:b/>
                <w:color w:val="FFFFFF"/>
                <w:sz w:val="20"/>
                <w:szCs w:val="20"/>
              </w:rPr>
              <w:t>TITOLI DI STUDIO</w:t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both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</w:rPr>
              <w:t>A1. LAUREA* IN SCIENZE MOTORIE O EQUIPOLLENTE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700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widowControl w:val="false"/>
              <w:ind w:left="720" w:right="269" w:hanging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A2. DIPLOMA ISEF* (in alternativa al punto A1)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700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141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A3. LAUREA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vecchio ordinamento o magistrale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700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141" w:hanging="14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A4. LAUREA* </w:t>
            </w:r>
            <w:r>
              <w:rPr>
                <w:sz w:val="20"/>
                <w:szCs w:val="20"/>
              </w:rPr>
              <w:t>triennale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700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A5. DIPLOMA*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700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B2. ALTRA LAUREA triennale </w:t>
            </w:r>
            <w:r>
              <w:rPr>
                <w:sz w:val="20"/>
                <w:szCs w:val="20"/>
              </w:rPr>
              <w:t>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ALTRO DIPLOMA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POST LAUREAM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B5.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B8.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700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686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700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8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LOnormal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LibreOffice/7.1.0.3$MacOSX_X86_64 LibreOffice_project/f6099ecf3d29644b5008cc8f48f42f4a40986e4c</Application>
  <AppVersion>15.0000</AppVersion>
  <Pages>2</Pages>
  <Words>497</Words>
  <Characters>2948</Characters>
  <CharactersWithSpaces>3451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2024-01-26T16:22:35Z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