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 </w:t>
      </w:r>
    </w:p>
    <w:p>
      <w:pPr>
        <w:pStyle w:val="Normal1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</w:t>
      </w:r>
      <w:r>
        <w:rPr>
          <w:rFonts w:eastAsia="Times New Roman" w:cs="Times New Roman" w:ascii="Times New Roman" w:hAnsi="Times New Roman"/>
          <w:b/>
        </w:rPr>
        <w:t>“WEB RADIO"</w:t>
      </w:r>
    </w:p>
    <w:p>
      <w:pPr>
        <w:pStyle w:val="Normal1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2"/>
        <w:gridCol w:w="4574"/>
        <w:gridCol w:w="1786"/>
        <w:gridCol w:w="1332"/>
        <w:gridCol w:w="1293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812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812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A1. LAUREA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congiuntamente al possesso di competenze certificate nella gestione di una web radio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12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141" w:hanging="141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A2. LAUREA* (triennale, in alternativa al punto A1) congiuntamente al possesso di competenze certificate nella gestione di una web radio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12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congiuntamente al possesso di competenze certificate nella gestione di una web radio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12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812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574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812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544</Words>
  <Characters>3206</Characters>
  <CharactersWithSpaces>3759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2024-01-26T16:15:38Z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