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Normal"/>
        <w:widowControl w:val="false"/>
        <w:suppressAutoHyphens w:val="true"/>
        <w:spacing w:lineRule="auto" w:line="276" w:before="0" w:after="200"/>
        <w:ind w:left="0" w:right="178" w:hanging="0"/>
        <w:jc w:val="left"/>
        <w:rPr>
          <w:rFonts w:ascii="Calibri" w:hAnsi="Calibri" w:cs="" w:asciiTheme="minorHAnsi" w:cstheme="minorBidi" w:hAnsiTheme="minorHAnsi"/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vertAlign w:val="baseline"/>
          <w:lang w:val="it-IT" w:eastAsia="en-US" w:bidi="ar-SA"/>
        </w:rPr>
        <w:t>Percorsi di potenziamento delle competenze di base, di motivazione e accompagnamento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 xml:space="preserve">“LA SCUOLA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b w:val="false"/>
          <w:bCs w:val="false"/>
          <w:position w:val="0"/>
          <w:sz w:val="20"/>
          <w:sz w:val="20"/>
          <w:szCs w:val="20"/>
          <w:vertAlign w:val="baseline"/>
        </w:rPr>
        <w:t>”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4"/>
        <w:gridCol w:w="4462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A1. LAUREA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inerente il percorso scelto come da avviso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ALTRI </w:t>
            </w:r>
            <w:r>
              <w:rPr>
                <w:b/>
                <w:color w:val="FFFFFF"/>
                <w:sz w:val="20"/>
                <w:szCs w:val="20"/>
              </w:rPr>
              <w:t>TITO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 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/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LibreOffice/7.1.0.3$MacOSX_X86_64 LibreOffice_project/f6099ecf3d29644b5008cc8f48f42f4a40986e4c</Application>
  <AppVersion>15.0000</AppVersion>
  <Pages>2</Pages>
  <Words>478</Words>
  <Characters>2864</Characters>
  <CharactersWithSpaces>3356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2024-06-15T12:42:46Z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